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Паспорт </w:t>
      </w:r>
    </w:p>
    <w:p w:rsidR="00440A30" w:rsidRDefault="00440A30" w:rsidP="00440A30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муниципальной программы </w:t>
      </w:r>
    </w:p>
    <w:p w:rsidR="00440A30" w:rsidRDefault="00440A30" w:rsidP="00440A30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«Формирование комфортной городской (сельской)  среды» на 2018-2022 годы</w:t>
      </w:r>
    </w:p>
    <w:p w:rsidR="00440A30" w:rsidRDefault="00440A30" w:rsidP="00440A30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(далее – Программа)</w:t>
      </w:r>
    </w:p>
    <w:p w:rsidR="00440A30" w:rsidRPr="00440A30" w:rsidRDefault="00440A30" w:rsidP="00440A30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ar-SA"/>
        </w:rPr>
      </w:pPr>
      <w:r w:rsidRPr="00440A30"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ar-SA"/>
        </w:rPr>
        <w:t>_</w:t>
      </w:r>
      <w:r w:rsidRPr="00440A30"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ar-SA"/>
        </w:rPr>
        <w:t>Лебяженского сельсовета</w:t>
      </w:r>
      <w:r w:rsidRPr="00440A30"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ar-SA"/>
        </w:rPr>
        <w:t>_</w:t>
      </w:r>
    </w:p>
    <w:p w:rsidR="00440A30" w:rsidRDefault="00440A30" w:rsidP="00440A30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2"/>
          <w:lang w:eastAsia="ar-SA"/>
        </w:rPr>
      </w:pPr>
      <w:proofErr w:type="gramStart"/>
      <w:r>
        <w:rPr>
          <w:rFonts w:ascii="Times New Roman" w:eastAsia="SimSun" w:hAnsi="Times New Roman"/>
          <w:kern w:val="2"/>
          <w:lang w:eastAsia="ar-SA"/>
        </w:rPr>
        <w:t>(наименование населенного пункта численностью свыше 1000 человек</w:t>
      </w:r>
      <w:proofErr w:type="gramEnd"/>
    </w:p>
    <w:p w:rsidR="00440A30" w:rsidRDefault="00440A30" w:rsidP="00440A30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наименование муниципального образования)</w:t>
      </w:r>
    </w:p>
    <w:p w:rsidR="00440A30" w:rsidRDefault="00440A30" w:rsidP="00440A30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2"/>
        <w:gridCol w:w="6803"/>
      </w:tblGrid>
      <w:tr w:rsidR="00440A30" w:rsidTr="00440A3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Администрация Лебяженского сельсовета</w:t>
            </w:r>
          </w:p>
        </w:tc>
      </w:tr>
      <w:tr w:rsidR="00440A30" w:rsidTr="00440A3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30" w:rsidRDefault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Жители села, организации</w:t>
            </w:r>
          </w:p>
        </w:tc>
      </w:tr>
      <w:tr w:rsidR="00440A30" w:rsidTr="00440A3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0A30" w:rsidTr="00440A30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0" w:rsidRDefault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440A30" w:rsidRDefault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A30" w:rsidRDefault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440A30" w:rsidRDefault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A30" w:rsidRDefault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440A30" w:rsidRDefault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A30" w:rsidTr="00440A3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30" w:rsidRDefault="00440A30" w:rsidP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Дворовые территории многоквартирных домов и общественные территории</w:t>
            </w:r>
          </w:p>
        </w:tc>
      </w:tr>
      <w:tr w:rsidR="00440A30" w:rsidTr="00440A3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Срок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30" w:rsidRDefault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 годы</w:t>
            </w:r>
          </w:p>
          <w:p w:rsidR="00440A30" w:rsidRDefault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440A30" w:rsidRDefault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440A30" w:rsidRDefault="00440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 2022 годы</w:t>
            </w:r>
          </w:p>
        </w:tc>
      </w:tr>
      <w:tr w:rsidR="00440A30" w:rsidTr="00440A30">
        <w:trPr>
          <w:trHeight w:val="7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>
              <w:rPr>
                <w:rStyle w:val="a6"/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footnoteReference w:id="1"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A30" w:rsidRDefault="00440A3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тыс. руб., в том числе: </w:t>
            </w:r>
          </w:p>
          <w:p w:rsidR="00440A30" w:rsidRDefault="00440A3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федеральный бюджет           — тыс.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440A30" w:rsidRDefault="00440A3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краевой бюджет                    — тыс.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440A30" w:rsidRDefault="00440A3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местный бюджет                  — тыс. руб. </w:t>
            </w:r>
          </w:p>
          <w:p w:rsidR="00440A30" w:rsidRDefault="00440A3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иные источники                   — тыс.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440A30" w:rsidRDefault="00440A3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440A30" w:rsidRDefault="00440A30" w:rsidP="004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A30" w:rsidRDefault="00440A30" w:rsidP="004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A30" w:rsidRDefault="00440A30" w:rsidP="004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A30" w:rsidRDefault="00440A30" w:rsidP="004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Приоритеты</w:t>
      </w:r>
    </w:p>
    <w:p w:rsidR="00440A30" w:rsidRDefault="00440A30" w:rsidP="004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политики ф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ормирования комфортной городской (сельской) среды в целях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благоустройства территорий городских округов (поселений) </w:t>
      </w:r>
    </w:p>
    <w:p w:rsidR="00440A30" w:rsidRDefault="00440A30" w:rsidP="004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формирования программ формирование комфортной городской среды.</w:t>
      </w: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безбарьерности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маломобильных групп. </w:t>
      </w: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текущего состояния сферы благоустройства</w:t>
      </w:r>
      <w:r>
        <w:rPr>
          <w:rFonts w:ascii="Times New Roman" w:eastAsia="SimSun" w:hAnsi="Times New Roman"/>
          <w:b/>
          <w:kern w:val="2"/>
          <w:sz w:val="24"/>
          <w:szCs w:val="24"/>
          <w:vertAlign w:val="superscript"/>
          <w:lang w:eastAsia="ar-SA"/>
        </w:rPr>
        <w:footnoteReference w:id="3"/>
      </w: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Общая характеристика 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3.1.1. Численность</w:t>
      </w:r>
      <w:r w:rsidRPr="00440A30">
        <w:rPr>
          <w:rFonts w:ascii="Times New Roman" w:eastAsia="SimSun" w:hAnsi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gramStart"/>
      <w:r w:rsidRPr="00440A30">
        <w:rPr>
          <w:rFonts w:ascii="Times New Roman" w:eastAsia="SimSun" w:hAnsi="Times New Roman"/>
          <w:kern w:val="2"/>
          <w:sz w:val="24"/>
          <w:szCs w:val="24"/>
          <w:u w:val="single"/>
          <w:lang w:eastAsia="ar-SA"/>
        </w:rPr>
        <w:t>1182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в том числе по возрасту</w:t>
      </w:r>
      <w:r>
        <w:rPr>
          <w:rStyle w:val="a6"/>
          <w:rFonts w:ascii="Times New Roman" w:eastAsia="SimSun" w:hAnsi="Times New Roman"/>
          <w:kern w:val="2"/>
          <w:sz w:val="24"/>
          <w:szCs w:val="24"/>
          <w:lang w:eastAsia="ar-SA"/>
        </w:rPr>
        <w:footnoteReference w:id="4"/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: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 % от 55 лет и старше;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 % от 40 до 55 лет;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 % от 30 до 40  лет;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 % от 20 до 30 лет;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 % от 18 до 20 лет;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______% от 10 до 18 лет;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______% от  3 до 10 лет;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______% от 1 до 3 лет.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3.1.2.Стратегия социально – экономического развития: утверждена _______________________</w:t>
      </w:r>
      <w:r>
        <w:rPr>
          <w:rStyle w:val="a6"/>
          <w:rFonts w:ascii="Times New Roman" w:eastAsia="SimSun" w:hAnsi="Times New Roman"/>
          <w:kern w:val="2"/>
          <w:sz w:val="24"/>
          <w:szCs w:val="24"/>
          <w:lang w:eastAsia="ar-SA"/>
        </w:rPr>
        <w:footnoteReference w:id="5"/>
      </w:r>
    </w:p>
    <w:p w:rsidR="00440A30" w:rsidRDefault="00440A30" w:rsidP="00440A30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3.1.3. Генеральный план: утвержден                    _</w:t>
      </w:r>
      <w:r>
        <w:rPr>
          <w:rFonts w:ascii="Times New Roman" w:eastAsia="SimSun" w:hAnsi="Times New Roman"/>
          <w:kern w:val="2"/>
          <w:sz w:val="24"/>
          <w:szCs w:val="24"/>
          <w:u w:val="single"/>
          <w:lang w:eastAsia="ar-SA"/>
        </w:rPr>
        <w:t>07.12.2012 № 88-258-р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__.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3.1.4. Правила землепользования: утверждены   _</w:t>
      </w:r>
      <w:r>
        <w:rPr>
          <w:rFonts w:ascii="Times New Roman" w:eastAsia="SimSun" w:hAnsi="Times New Roman"/>
          <w:kern w:val="2"/>
          <w:sz w:val="24"/>
          <w:szCs w:val="24"/>
          <w:u w:val="single"/>
          <w:lang w:eastAsia="ar-SA"/>
        </w:rPr>
        <w:t>28.05.2013 № 93-268-р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_.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3.1.5. Правила благоустройства: утверждены      _____________________.</w:t>
      </w: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50"/>
        <w:gridCol w:w="1510"/>
      </w:tblGrid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440A30" w:rsidTr="00440A30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40A30" w:rsidTr="00440A30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 w:rsidP="00013D75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>
              <w:rPr>
                <w:rStyle w:val="a6"/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footnoteReference w:id="6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ед.</w:t>
            </w:r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440A30" w:rsidTr="00440A30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 w:rsidP="00013D75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40A30" w:rsidTr="00440A30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 w:rsidP="00013D75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>
              <w:rPr>
                <w:rStyle w:val="a6"/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footnoteReference w:id="7"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- твердым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>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>ед.</w:t>
            </w:r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40A30" w:rsidTr="00440A30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40A30" w:rsidTr="00440A30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 w:rsidP="00013D75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>Количество и площадь благоустроенных дворовых территорий многоквартирных домов</w:t>
            </w:r>
            <w:r>
              <w:rPr>
                <w:rStyle w:val="a6"/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footnoteReference w:id="8"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ед.</w:t>
            </w:r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40A30" w:rsidTr="00440A30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40A30" w:rsidTr="00440A30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 w:rsidP="00013D75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40A30" w:rsidTr="00440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40A30" w:rsidTr="00440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40A30" w:rsidTr="00440A30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 w:rsidP="00013D75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440A30" w:rsidTr="00440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100</w:t>
            </w:r>
          </w:p>
        </w:tc>
      </w:tr>
      <w:tr w:rsidR="00440A30" w:rsidTr="00440A3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9"/>
            </w:r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40A30" w:rsidTr="00440A30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 w:rsidP="00013D75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40A30" w:rsidRDefault="00440A3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 w:rsidP="00013D75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40A30" w:rsidRDefault="00440A3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16630</w:t>
            </w: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 w:rsidP="00013D75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нуждающихся в благоустройстве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40A30" w:rsidRDefault="00440A3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16630</w:t>
            </w: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 w:rsidP="00013D75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40A30" w:rsidTr="00440A30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0" w:rsidRDefault="00440A30" w:rsidP="00013D75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Иные показатели:</w:t>
            </w:r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озеленение;</w:t>
            </w:r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освещение;</w:t>
            </w:r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твердое покрытие дорог</w:t>
            </w:r>
          </w:p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0" w:rsidRDefault="00440A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40A30" w:rsidRDefault="00440A30" w:rsidP="00440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>
        <w:rPr>
          <w:rFonts w:ascii="Times New Roman" w:hAnsi="Times New Roman"/>
          <w:sz w:val="24"/>
          <w:szCs w:val="24"/>
        </w:rPr>
        <w:t>тропиночной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="005778A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года администрацией </w:t>
      </w:r>
      <w:r>
        <w:rPr>
          <w:rFonts w:ascii="Times New Roman" w:hAnsi="Times New Roman"/>
          <w:sz w:val="24"/>
          <w:szCs w:val="24"/>
        </w:rPr>
        <w:t xml:space="preserve">Лебяженского сельсовета </w:t>
      </w:r>
      <w:r>
        <w:rPr>
          <w:rFonts w:ascii="Times New Roman" w:hAnsi="Times New Roman"/>
          <w:sz w:val="24"/>
          <w:szCs w:val="24"/>
        </w:rPr>
        <w:t>проводятся конкурсы __________________, также  администрация участвует в краевых конкурсах</w:t>
      </w:r>
      <w:r w:rsidR="005778AB">
        <w:rPr>
          <w:rFonts w:ascii="Times New Roman" w:hAnsi="Times New Roman"/>
          <w:sz w:val="24"/>
          <w:szCs w:val="24"/>
        </w:rPr>
        <w:t>: «</w:t>
      </w:r>
      <w:r w:rsidR="005778AB">
        <w:rPr>
          <w:rFonts w:ascii="Times New Roman" w:hAnsi="Times New Roman"/>
          <w:sz w:val="24"/>
          <w:szCs w:val="24"/>
          <w:u w:val="single"/>
        </w:rPr>
        <w:t>Жители за чистоту и благоустройство», «Берег Енисея»</w:t>
      </w:r>
      <w:r>
        <w:rPr>
          <w:rFonts w:ascii="Times New Roman" w:hAnsi="Times New Roman"/>
          <w:sz w:val="24"/>
          <w:szCs w:val="24"/>
        </w:rPr>
        <w:t>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2014-2016 годы выполнены работы </w:t>
      </w:r>
      <w:r w:rsidR="005778AB">
        <w:rPr>
          <w:rFonts w:ascii="Times New Roman" w:hAnsi="Times New Roman"/>
          <w:sz w:val="24"/>
          <w:szCs w:val="24"/>
          <w:u w:val="single"/>
        </w:rPr>
        <w:t>ограждение парка, строительство детской площадки</w:t>
      </w:r>
      <w:r>
        <w:rPr>
          <w:rFonts w:ascii="Times New Roman" w:hAnsi="Times New Roman"/>
          <w:sz w:val="24"/>
          <w:szCs w:val="24"/>
        </w:rPr>
        <w:t xml:space="preserve">_ на общую сумму ______________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>. Это позволило ________________________.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(школьники, студенты) </w:t>
      </w:r>
      <w:proofErr w:type="gramStart"/>
      <w:r>
        <w:rPr>
          <w:rFonts w:ascii="Times New Roman" w:hAnsi="Times New Roman"/>
          <w:sz w:val="24"/>
          <w:szCs w:val="24"/>
        </w:rPr>
        <w:t>привлекается к работам по благоустройству _______________________ проводятся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субботники ______________________________________., иные мероприятия _______________________________________.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440A30" w:rsidRDefault="00440A30" w:rsidP="00440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В целях создания </w:t>
      </w:r>
      <w:r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440A30" w:rsidRDefault="00440A30" w:rsidP="00440A30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lastRenderedPageBreak/>
        <w:t>5. Ожидаемые результаты Программы</w:t>
      </w:r>
    </w:p>
    <w:p w:rsidR="00440A30" w:rsidRDefault="00440A30" w:rsidP="00440A30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440A30" w:rsidRDefault="00440A30" w:rsidP="00440A30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6. Мероприятия Программы</w:t>
      </w: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Задача 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Мероприятие 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 органом местного самоуправления  от </w:t>
      </w:r>
      <w:r w:rsidR="005778AB">
        <w:rPr>
          <w:rFonts w:ascii="Times New Roman" w:hAnsi="Times New Roman"/>
          <w:sz w:val="24"/>
          <w:szCs w:val="24"/>
          <w:u w:val="single"/>
        </w:rPr>
        <w:t>18.05.2012</w:t>
      </w:r>
      <w:r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5778AB">
        <w:rPr>
          <w:rFonts w:ascii="Times New Roman" w:hAnsi="Times New Roman"/>
          <w:sz w:val="24"/>
          <w:szCs w:val="24"/>
          <w:u w:val="single"/>
        </w:rPr>
        <w:t>В-79-240-р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утверждены</w:t>
      </w:r>
      <w:r>
        <w:rPr>
          <w:rStyle w:val="a6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 xml:space="preserve"> ______________________ на основании публичных слушаний.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Порядок организации и проведения публичных слушаний определен  уставом муниципального образования </w:t>
      </w:r>
      <w:r>
        <w:rPr>
          <w:rFonts w:ascii="Times New Roman" w:hAnsi="Times New Roman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Публичные слушания проведены _________________</w:t>
      </w:r>
      <w:r>
        <w:rPr>
          <w:rStyle w:val="a6"/>
          <w:rFonts w:ascii="Times New Roman" w:hAnsi="Times New Roman"/>
          <w:bCs/>
          <w:sz w:val="24"/>
          <w:szCs w:val="24"/>
        </w:rPr>
        <w:footnoteReference w:id="11"/>
      </w:r>
      <w:r>
        <w:rPr>
          <w:rFonts w:ascii="Times New Roman" w:hAnsi="Times New Roman"/>
          <w:bCs/>
          <w:sz w:val="24"/>
          <w:szCs w:val="24"/>
        </w:rPr>
        <w:t xml:space="preserve">  в период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 по ______________..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440A30" w:rsidRDefault="00440A30" w:rsidP="00440A3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1.3. Применение лучших практик (проектов, дизай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проектов)  при  благоустройстве  дворов и общественных пространств.</w:t>
      </w:r>
    </w:p>
    <w:p w:rsidR="00440A30" w:rsidRDefault="00440A30" w:rsidP="00440A3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440A30" w:rsidRDefault="00440A30" w:rsidP="00440A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440A30" w:rsidRDefault="00440A30" w:rsidP="00440A3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440A30" w:rsidRDefault="00440A30" w:rsidP="00440A3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440A30" w:rsidRDefault="00440A30" w:rsidP="00440A3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>
        <w:rPr>
          <w:rFonts w:ascii="Times New Roman" w:hAnsi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>
          <w:rPr>
            <w:rStyle w:val="a7"/>
            <w:rFonts w:ascii="Times New Roman" w:hAnsi="Times New Roman"/>
            <w:bCs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>
          <w:rPr>
            <w:rStyle w:val="a7"/>
            <w:rFonts w:ascii="Times New Roman" w:hAnsi="Times New Roman"/>
            <w:bCs/>
            <w:sz w:val="24"/>
            <w:szCs w:val="24"/>
            <w:u w:val="none"/>
          </w:rPr>
          <w:t>5.1</w:t>
        </w:r>
      </w:hyperlink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>
        <w:rPr>
          <w:rFonts w:ascii="Times New Roman" w:hAnsi="Times New Roman"/>
          <w:bCs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>
        <w:rPr>
          <w:rStyle w:val="a6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>
        <w:rPr>
          <w:rStyle w:val="a6"/>
          <w:rFonts w:ascii="Times New Roman" w:hAnsi="Times New Roman"/>
          <w:sz w:val="24"/>
          <w:szCs w:val="24"/>
        </w:rPr>
        <w:footnoteReference w:id="13"/>
      </w:r>
      <w:r>
        <w:rPr>
          <w:rFonts w:ascii="Times New Roman" w:hAnsi="Times New Roman"/>
          <w:sz w:val="24"/>
          <w:szCs w:val="24"/>
        </w:rPr>
        <w:t>.__________________________________________________________________.</w:t>
      </w:r>
    </w:p>
    <w:p w:rsidR="00440A30" w:rsidRDefault="00440A30" w:rsidP="00440A3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0A30" w:rsidRDefault="00440A30" w:rsidP="00440A30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40A30" w:rsidRDefault="00440A30" w:rsidP="00440A3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0A30" w:rsidRDefault="00440A30" w:rsidP="00440A30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>
        <w:rPr>
          <w:rFonts w:ascii="Times New Roman" w:hAnsi="Times New Roman"/>
          <w:bCs/>
          <w:sz w:val="24"/>
          <w:szCs w:val="24"/>
        </w:rPr>
        <w:t>по развитию городской (сельской) среды;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0A30" w:rsidRDefault="00440A30" w:rsidP="00440A3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440A30" w:rsidRDefault="00440A30" w:rsidP="00440A3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440A30" w:rsidRDefault="00440A30" w:rsidP="00440A30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A30" w:rsidRDefault="00440A30" w:rsidP="00440A3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40A30" w:rsidRDefault="00440A30" w:rsidP="00440A3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благоустройстве дворовой территории с привлечение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/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 скамеек;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 урн для мусора.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440A30" w:rsidRDefault="00440A30" w:rsidP="00440A3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440A30" w:rsidRDefault="00440A30" w:rsidP="00440A3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 № _________.</w:t>
      </w:r>
    </w:p>
    <w:p w:rsidR="00440A30" w:rsidRDefault="00440A30" w:rsidP="00440A3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заинтересованные лица направляют в порядке, установленном постановлением главы муниципального образования от _______ №______ «О п</w:t>
      </w:r>
      <w:r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Предложения об участии в муниципальной программе  приняты на общем собрании </w:t>
      </w:r>
      <w:r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440A30" w:rsidRDefault="00440A30" w:rsidP="00440A3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 № _____________. 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/>
          <w:sz w:val="24"/>
          <w:szCs w:val="24"/>
        </w:rPr>
        <w:t>.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0A30" w:rsidRDefault="00440A30" w:rsidP="00440A30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Мероприятие 2.2. Благоустройство общественных пространств. 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благоустройства общественных простран</w:t>
      </w:r>
      <w:proofErr w:type="gramStart"/>
      <w:r>
        <w:rPr>
          <w:rFonts w:ascii="Times New Roman" w:hAnsi="Times New Roman"/>
          <w:sz w:val="24"/>
          <w:szCs w:val="24"/>
        </w:rPr>
        <w:t>ств сф</w:t>
      </w:r>
      <w:proofErr w:type="gramEnd"/>
      <w:r>
        <w:rPr>
          <w:rFonts w:ascii="Times New Roman" w:hAnsi="Times New Roman"/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440A30" w:rsidRDefault="00440A30" w:rsidP="00440A3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 № _________.</w:t>
      </w:r>
    </w:p>
    <w:p w:rsidR="00440A30" w:rsidRDefault="00440A30" w:rsidP="00440A3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 №______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440A30" w:rsidRDefault="00440A30" w:rsidP="00440A3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440A30" w:rsidRDefault="00440A30" w:rsidP="00440A30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A30" w:rsidRDefault="00440A30" w:rsidP="00440A3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Средства на финансирование в 2018 - 2022 годах мероприятий Программы предоставляются в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2.</w:t>
      </w:r>
    </w:p>
    <w:p w:rsidR="00440A30" w:rsidRDefault="00440A30" w:rsidP="00440A3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40A30" w:rsidRDefault="00440A30" w:rsidP="00440A30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440A30" w:rsidRDefault="00440A30" w:rsidP="00440A3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ходом ее выполнения</w:t>
      </w: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8.3. Участники Программы ______________________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 форме согласно приложению № 5: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отчетным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;</w:t>
      </w:r>
    </w:p>
    <w:p w:rsidR="00440A30" w:rsidRDefault="00440A30" w:rsidP="00440A30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годовой в срок до  10 января года следующего за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отчетным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реализацию Программы несет Глава муниципального образования.</w:t>
      </w: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440A30" w:rsidRDefault="00440A30" w:rsidP="00440A30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440A30" w:rsidRDefault="00440A30" w:rsidP="00440A3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51A5A" w:rsidRDefault="00D51A5A"/>
    <w:sectPr w:rsidR="00D5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E9" w:rsidRDefault="00BF74E9" w:rsidP="00440A30">
      <w:pPr>
        <w:spacing w:after="0" w:line="240" w:lineRule="auto"/>
      </w:pPr>
      <w:r>
        <w:separator/>
      </w:r>
    </w:p>
  </w:endnote>
  <w:endnote w:type="continuationSeparator" w:id="0">
    <w:p w:rsidR="00BF74E9" w:rsidRDefault="00BF74E9" w:rsidP="0044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E9" w:rsidRDefault="00BF74E9" w:rsidP="00440A30">
      <w:pPr>
        <w:spacing w:after="0" w:line="240" w:lineRule="auto"/>
      </w:pPr>
      <w:r>
        <w:separator/>
      </w:r>
    </w:p>
  </w:footnote>
  <w:footnote w:type="continuationSeparator" w:id="0">
    <w:p w:rsidR="00BF74E9" w:rsidRDefault="00BF74E9" w:rsidP="00440A30">
      <w:pPr>
        <w:spacing w:after="0" w:line="240" w:lineRule="auto"/>
      </w:pPr>
      <w:r>
        <w:continuationSeparator/>
      </w:r>
    </w:p>
  </w:footnote>
  <w:footnote w:id="1">
    <w:p w:rsidR="00440A30" w:rsidRDefault="00440A30" w:rsidP="00440A3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Современные общественные зоны - т</w:t>
      </w:r>
      <w:r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440A30" w:rsidRDefault="00440A30" w:rsidP="00440A30">
      <w:pPr>
        <w:pStyle w:val="a3"/>
        <w:ind w:firstLine="567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Может быть отражена иная структура по возрасту.</w:t>
      </w:r>
    </w:p>
  </w:footnote>
  <w:footnote w:id="5">
    <w:p w:rsidR="00440A30" w:rsidRDefault="00440A30" w:rsidP="00440A3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440A30" w:rsidRDefault="00440A30" w:rsidP="00440A3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8">
    <w:p w:rsidR="00440A30" w:rsidRDefault="00440A30" w:rsidP="00440A3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440A30" w:rsidRDefault="00440A30" w:rsidP="00440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Общественные территории м</w:t>
      </w:r>
      <w:r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440A30" w:rsidRDefault="00440A30" w:rsidP="00440A30">
      <w:pPr>
        <w:pStyle w:val="a3"/>
        <w:rPr>
          <w:sz w:val="22"/>
          <w:szCs w:val="22"/>
        </w:rPr>
      </w:pPr>
    </w:p>
  </w:footnote>
  <w:footnote w:id="10">
    <w:p w:rsidR="00440A30" w:rsidRDefault="00440A30" w:rsidP="00440A30">
      <w:pPr>
        <w:pStyle w:val="a3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1">
    <w:p w:rsidR="00440A30" w:rsidRDefault="00440A30" w:rsidP="00440A30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2">
    <w:p w:rsidR="00440A30" w:rsidRDefault="00440A30" w:rsidP="00440A30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3">
    <w:p w:rsidR="00440A30" w:rsidRDefault="00440A30" w:rsidP="00440A30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Привести данные о результатах работы комиссии.</w:t>
      </w:r>
    </w:p>
  </w:footnote>
  <w:footnote w:id="14">
    <w:p w:rsidR="00440A30" w:rsidRDefault="00440A30" w:rsidP="00440A30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0F"/>
    <w:rsid w:val="00440A30"/>
    <w:rsid w:val="005778AB"/>
    <w:rsid w:val="00A201E2"/>
    <w:rsid w:val="00B7720F"/>
    <w:rsid w:val="00BF74E9"/>
    <w:rsid w:val="00D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A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A30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40A30"/>
    <w:pPr>
      <w:ind w:left="720"/>
      <w:contextualSpacing/>
    </w:pPr>
  </w:style>
  <w:style w:type="paragraph" w:customStyle="1" w:styleId="ConsPlusNormal">
    <w:name w:val="ConsPlusNormal"/>
    <w:rsid w:val="0044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40A3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40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A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A30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40A30"/>
    <w:pPr>
      <w:ind w:left="720"/>
      <w:contextualSpacing/>
    </w:pPr>
  </w:style>
  <w:style w:type="paragraph" w:customStyle="1" w:styleId="ConsPlusNormal">
    <w:name w:val="ConsPlusNormal"/>
    <w:rsid w:val="0044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40A3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40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2867-A12C-42C4-B71A-4A0BEC59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2017-07-27T08:14:00Z</dcterms:created>
  <dcterms:modified xsi:type="dcterms:W3CDTF">2017-07-27T08:36:00Z</dcterms:modified>
</cp:coreProperties>
</file>