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1" w:rsidRPr="00465B9C" w:rsidRDefault="00F84731" w:rsidP="00F84731">
      <w:pPr>
        <w:spacing w:before="120"/>
        <w:rPr>
          <w:rFonts w:ascii="Arial" w:hAnsi="Arial" w:cs="Arial"/>
          <w:sz w:val="24"/>
          <w:szCs w:val="24"/>
        </w:rPr>
      </w:pP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2641A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</w:t>
      </w:r>
      <w:r w:rsidRPr="00465B9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DF4BD9A" wp14:editId="511A7750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val="x-none" w:eastAsia="ru-RU"/>
        </w:rPr>
        <w:t>РОССИЙСКАЯ  ФЕДЕРАЦИЯ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val="x-none" w:eastAsia="ru-RU"/>
        </w:rPr>
        <w:t>КРАСНОЯРСКИЙ КРАЙ КРАСНОТУРАНСКИЙ РАЙОН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val="x-none" w:eastAsia="ru-RU"/>
        </w:rPr>
        <w:t>ЛЕБЯЖЕНСКИЙ СЕЛЬСКИЙ СОВЕТ ДЕПУТАТОВ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41A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84731" w:rsidRPr="002641A1" w:rsidRDefault="00F84731" w:rsidP="00F84731">
      <w:pPr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731" w:rsidRPr="002641A1" w:rsidRDefault="00F84731" w:rsidP="00F84731">
      <w:pPr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1A1">
        <w:rPr>
          <w:rFonts w:ascii="Arial" w:eastAsia="Times New Roman" w:hAnsi="Arial" w:cs="Arial"/>
          <w:bCs/>
          <w:sz w:val="24"/>
          <w:szCs w:val="24"/>
          <w:lang w:eastAsia="ru-RU"/>
        </w:rPr>
        <w:t>25.11.2019                                             с.Лебяжье                                     № 61-20</w:t>
      </w:r>
      <w:r w:rsidRPr="00465B9C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2641A1">
        <w:rPr>
          <w:rFonts w:ascii="Arial" w:eastAsia="Times New Roman" w:hAnsi="Arial" w:cs="Arial"/>
          <w:bCs/>
          <w:sz w:val="24"/>
          <w:szCs w:val="24"/>
          <w:lang w:eastAsia="ru-RU"/>
        </w:rPr>
        <w:t>-р</w:t>
      </w:r>
    </w:p>
    <w:p w:rsidR="00F84731" w:rsidRPr="00465B9C" w:rsidRDefault="00F84731" w:rsidP="00F84731">
      <w:pPr>
        <w:jc w:val="center"/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jc w:val="center"/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jc w:val="left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О налоге на имущество физических лиц на территории муниципального образования Лебяженский сельсовет. </w:t>
      </w: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465B9C" w:rsidRDefault="00DB08C3" w:rsidP="00F8473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B08C3">
        <w:rPr>
          <w:rFonts w:ascii="Arial" w:hAnsi="Arial" w:cs="Arial"/>
          <w:sz w:val="24"/>
          <w:szCs w:val="24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321-ФЗ «О внесении изменений в часть вторую Налогового кодекса РФ»,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</w:t>
      </w:r>
      <w:proofErr w:type="gramEnd"/>
      <w:r w:rsidRPr="00DB08C3">
        <w:rPr>
          <w:rFonts w:ascii="Arial" w:hAnsi="Arial" w:cs="Arial"/>
          <w:sz w:val="24"/>
          <w:szCs w:val="24"/>
        </w:rPr>
        <w:t xml:space="preserve"> имущество физических лиц исходя из кадастровой стоимости объектов налогообложения»,</w:t>
      </w:r>
      <w:r w:rsidR="00F84731" w:rsidRPr="00465B9C">
        <w:rPr>
          <w:rFonts w:ascii="Arial" w:hAnsi="Arial" w:cs="Arial"/>
          <w:sz w:val="24"/>
          <w:szCs w:val="24"/>
        </w:rPr>
        <w:t xml:space="preserve"> руководствуясь Уставом Лебяженского сельсовета,  Лебяженский сельский Совет депутатов,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                                  РЕШИЛ:     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65B9C">
        <w:rPr>
          <w:rFonts w:ascii="Arial" w:hAnsi="Arial" w:cs="Arial"/>
          <w:sz w:val="24"/>
          <w:szCs w:val="24"/>
        </w:rPr>
        <w:t>Установить налог на имущество физических лиц на территории муниципального образования Лебяженский сельсовет.</w:t>
      </w:r>
    </w:p>
    <w:p w:rsidR="00F84731" w:rsidRPr="00465B9C" w:rsidRDefault="00DB08C3" w:rsidP="00F8473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4731" w:rsidRPr="00465B9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Налоговые ставки устанавливаются в следующих размерах</w:t>
      </w:r>
      <w:r w:rsidR="00F84731" w:rsidRPr="00465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кадастровой стоимости</w:t>
      </w:r>
      <w:r w:rsidR="00F84731" w:rsidRPr="00465B9C">
        <w:rPr>
          <w:rFonts w:ascii="Arial" w:hAnsi="Arial" w:cs="Arial"/>
          <w:sz w:val="24"/>
          <w:szCs w:val="24"/>
        </w:rPr>
        <w:t>:</w:t>
      </w:r>
    </w:p>
    <w:p w:rsidR="00F84731" w:rsidRPr="00465B9C" w:rsidRDefault="00F84731" w:rsidP="00F84731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F84731" w:rsidRPr="00465B9C" w:rsidTr="00CC0AD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№ </w:t>
            </w:r>
            <w:r w:rsidRPr="00465B9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65B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5B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жилой дом</w:t>
            </w:r>
            <w:r w:rsidRPr="00465B9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465B9C">
              <w:rPr>
                <w:rFonts w:ascii="Arial" w:hAnsi="Arial" w:cs="Arial"/>
                <w:sz w:val="24"/>
                <w:szCs w:val="24"/>
              </w:rPr>
              <w:t>(</w:t>
            </w:r>
            <w:r w:rsidRPr="00465B9C">
              <w:rPr>
                <w:rFonts w:ascii="Arial" w:eastAsiaTheme="minorHAnsi" w:hAnsi="Arial" w:cs="Arial"/>
                <w:sz w:val="24"/>
                <w:szCs w:val="24"/>
              </w:rPr>
              <w:t>част</w:t>
            </w:r>
            <w:r w:rsidRPr="00465B9C">
              <w:rPr>
                <w:rFonts w:ascii="Arial" w:hAnsi="Arial" w:cs="Arial"/>
                <w:sz w:val="24"/>
                <w:szCs w:val="24"/>
              </w:rPr>
              <w:t>ь</w:t>
            </w:r>
            <w:r w:rsidRPr="00465B9C">
              <w:rPr>
                <w:rFonts w:ascii="Arial" w:eastAsiaTheme="minorHAnsi" w:hAnsi="Arial" w:cs="Arial"/>
                <w:sz w:val="24"/>
                <w:szCs w:val="24"/>
              </w:rPr>
              <w:t xml:space="preserve"> жил</w:t>
            </w:r>
            <w:r w:rsidRPr="00465B9C">
              <w:rPr>
                <w:rFonts w:ascii="Arial" w:hAnsi="Arial" w:cs="Arial"/>
                <w:sz w:val="24"/>
                <w:szCs w:val="24"/>
              </w:rPr>
              <w:t>ого</w:t>
            </w:r>
            <w:r w:rsidRPr="00465B9C">
              <w:rPr>
                <w:rFonts w:ascii="Arial" w:eastAsiaTheme="minorHAnsi" w:hAnsi="Arial" w:cs="Arial"/>
                <w:sz w:val="24"/>
                <w:szCs w:val="24"/>
              </w:rPr>
              <w:t xml:space="preserve"> дом</w:t>
            </w:r>
            <w:r w:rsidRPr="00465B9C">
              <w:rPr>
                <w:rFonts w:ascii="Arial" w:hAnsi="Arial" w:cs="Arial"/>
                <w:sz w:val="24"/>
                <w:szCs w:val="24"/>
              </w:rPr>
              <w:t>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квартира</w:t>
            </w:r>
            <w:r w:rsidRPr="00465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465B9C">
              <w:rPr>
                <w:rFonts w:ascii="Arial" w:eastAsiaTheme="minorHAnsi" w:hAnsi="Arial" w:cs="Arial"/>
                <w:sz w:val="24"/>
                <w:szCs w:val="24"/>
              </w:rPr>
              <w:t>част</w:t>
            </w:r>
            <w:r w:rsidRPr="00465B9C">
              <w:rPr>
                <w:rFonts w:ascii="Arial" w:hAnsi="Arial" w:cs="Arial"/>
                <w:sz w:val="24"/>
                <w:szCs w:val="24"/>
              </w:rPr>
              <w:t>ь</w:t>
            </w:r>
            <w:r w:rsidRPr="00465B9C">
              <w:rPr>
                <w:rFonts w:ascii="Arial" w:eastAsiaTheme="minorHAnsi" w:hAnsi="Arial" w:cs="Arial"/>
                <w:sz w:val="24"/>
                <w:szCs w:val="24"/>
              </w:rPr>
              <w:t xml:space="preserve"> квартир</w:t>
            </w:r>
            <w:r w:rsidRPr="00465B9C">
              <w:rPr>
                <w:rFonts w:ascii="Arial" w:hAnsi="Arial" w:cs="Arial"/>
                <w:sz w:val="24"/>
                <w:szCs w:val="24"/>
              </w:rPr>
              <w:t>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A30FB7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FB7">
              <w:rPr>
                <w:rFonts w:ascii="Arial" w:hAnsi="Arial" w:cs="Arial"/>
                <w:sz w:val="24"/>
                <w:szCs w:val="24"/>
              </w:rPr>
              <w:t xml:space="preserve">гараж, </w:t>
            </w:r>
            <w:proofErr w:type="spellStart"/>
            <w:r w:rsidRPr="00A30FB7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A30FB7">
              <w:rPr>
                <w:rFonts w:ascii="Arial" w:hAnsi="Arial" w:cs="Arial"/>
                <w:sz w:val="24"/>
                <w:szCs w:val="24"/>
              </w:rPr>
              <w:t>-место</w:t>
            </w:r>
            <w:r w:rsidR="00256978" w:rsidRPr="00A30FB7">
              <w:rPr>
                <w:rFonts w:ascii="Arial" w:hAnsi="Arial" w:cs="Arial"/>
                <w:sz w:val="24"/>
                <w:szCs w:val="24"/>
              </w:rPr>
              <w:t>, в том числе расположенных в объектах налогообложения</w:t>
            </w:r>
            <w:r w:rsidRPr="00A30FB7">
              <w:rPr>
                <w:rFonts w:ascii="Arial" w:hAnsi="Arial" w:cs="Arial"/>
                <w:sz w:val="24"/>
                <w:szCs w:val="24"/>
              </w:rPr>
              <w:t>;</w:t>
            </w:r>
            <w:r w:rsidR="00A30FB7" w:rsidRPr="00A30FB7">
              <w:t xml:space="preserve"> </w:t>
            </w:r>
            <w:r w:rsidR="00A30FB7" w:rsidRPr="00A30FB7">
              <w:rPr>
                <w:rFonts w:ascii="Arial" w:hAnsi="Arial" w:cs="Arial"/>
                <w:sz w:val="24"/>
                <w:szCs w:val="24"/>
              </w:rPr>
              <w:t>указанных в подпункте 2 пункта 2 статьи 406 Налогового кодекса российской Федерации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хозяйственное строение или сооружение, площадь каждого из которых</w:t>
            </w:r>
            <w:r w:rsidRPr="00465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5B9C">
              <w:rPr>
                <w:rFonts w:ascii="Arial" w:hAnsi="Arial" w:cs="Arial"/>
                <w:sz w:val="24"/>
                <w:szCs w:val="24"/>
              </w:rPr>
              <w:t xml:space="preserve">не превышает 50 квадратных </w:t>
            </w:r>
            <w:proofErr w:type="gramStart"/>
            <w:r w:rsidRPr="00465B9C">
              <w:rPr>
                <w:rFonts w:ascii="Arial" w:hAnsi="Arial" w:cs="Arial"/>
                <w:sz w:val="24"/>
                <w:szCs w:val="24"/>
              </w:rPr>
              <w:t>метров</w:t>
            </w:r>
            <w:proofErr w:type="gramEnd"/>
            <w:r w:rsidRPr="00465B9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465B9C">
              <w:rPr>
                <w:rFonts w:ascii="Arial" w:hAnsi="Arial" w:cs="Arial"/>
                <w:sz w:val="24"/>
                <w:szCs w:val="24"/>
              </w:rPr>
              <w:t>которые</w:t>
            </w:r>
            <w:proofErr w:type="gramEnd"/>
            <w:r w:rsidRPr="00465B9C">
              <w:rPr>
                <w:rFonts w:ascii="Arial" w:hAnsi="Arial" w:cs="Arial"/>
                <w:sz w:val="24"/>
                <w:szCs w:val="24"/>
              </w:rPr>
              <w:t xml:space="preserve">  расположены  на земельных  участках,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превышает 300 м</w:t>
            </w:r>
            <w:bookmarkStart w:id="0" w:name="_GoBack"/>
            <w:bookmarkEnd w:id="0"/>
            <w:r w:rsidRPr="00465B9C">
              <w:rPr>
                <w:rFonts w:ascii="Arial" w:hAnsi="Arial" w:cs="Arial"/>
                <w:sz w:val="24"/>
                <w:szCs w:val="24"/>
              </w:rPr>
              <w:t>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4731" w:rsidRPr="00465B9C" w:rsidTr="00CC0A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1" w:rsidRPr="00465B9C" w:rsidRDefault="00F84731" w:rsidP="00CC0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F84731" w:rsidRPr="00465B9C" w:rsidRDefault="00386CF0" w:rsidP="00386CF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84731" w:rsidRPr="00465B9C">
        <w:rPr>
          <w:rFonts w:ascii="Arial" w:hAnsi="Arial" w:cs="Arial"/>
          <w:sz w:val="24"/>
          <w:szCs w:val="24"/>
        </w:rPr>
        <w:t xml:space="preserve"> Налоговые льготы по налогу на имущество предоставляются в соответствии со статьёй 407 Налогового кодекса  Российской Федерации</w:t>
      </w:r>
    </w:p>
    <w:p w:rsidR="00F84731" w:rsidRPr="00465B9C" w:rsidRDefault="00F84731" w:rsidP="00386CF0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465B9C">
        <w:rPr>
          <w:rFonts w:ascii="Arial" w:hAnsi="Arial" w:cs="Arial"/>
          <w:sz w:val="24"/>
          <w:szCs w:val="24"/>
          <w:lang w:eastAsia="ru-RU"/>
        </w:rPr>
        <w:t xml:space="preserve">Признать утратившими  силу </w:t>
      </w:r>
    </w:p>
    <w:p w:rsidR="00F84731" w:rsidRPr="00465B9C" w:rsidRDefault="00F84731" w:rsidP="00F84731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465B9C">
        <w:rPr>
          <w:rFonts w:ascii="Arial" w:hAnsi="Arial" w:cs="Arial"/>
          <w:sz w:val="24"/>
          <w:szCs w:val="24"/>
          <w:lang w:eastAsia="ru-RU"/>
        </w:rPr>
        <w:t xml:space="preserve"> Решение Лебяженского сельского Совета депутатов от 29.11.2018г. № 46-153-р  «О нало</w:t>
      </w:r>
      <w:r>
        <w:rPr>
          <w:rFonts w:ascii="Arial" w:hAnsi="Arial" w:cs="Arial"/>
          <w:sz w:val="24"/>
          <w:szCs w:val="24"/>
          <w:lang w:eastAsia="ru-RU"/>
        </w:rPr>
        <w:t>ге на имущество физических лиц».</w:t>
      </w:r>
    </w:p>
    <w:p w:rsidR="00F84731" w:rsidRPr="00465B9C" w:rsidRDefault="00386CF0" w:rsidP="00F84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84731" w:rsidRPr="00465B9C">
        <w:rPr>
          <w:rFonts w:ascii="Arial" w:hAnsi="Arial" w:cs="Arial"/>
          <w:sz w:val="24"/>
          <w:szCs w:val="24"/>
        </w:rPr>
        <w:t xml:space="preserve"> </w:t>
      </w:r>
      <w:r w:rsidR="00256978" w:rsidRPr="00256978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официального опубликования на сайте администрации Лебяженского сельсовета (lebyazhe-adm.gbu.su) и не ранее 01.01.2020 года.</w:t>
      </w:r>
    </w:p>
    <w:p w:rsidR="00F84731" w:rsidRPr="00465B9C" w:rsidRDefault="00386CF0" w:rsidP="00F84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4731" w:rsidRPr="00465B9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4731" w:rsidRPr="00465B9C">
        <w:rPr>
          <w:rFonts w:ascii="Arial" w:hAnsi="Arial" w:cs="Arial"/>
          <w:sz w:val="24"/>
          <w:szCs w:val="24"/>
        </w:rPr>
        <w:t>Контроль за</w:t>
      </w:r>
      <w:proofErr w:type="gramEnd"/>
      <w:r w:rsidR="00F84731" w:rsidRPr="00465B9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Главу Лебяженского сельсовета</w:t>
      </w:r>
      <w:r w:rsidR="00265A1F">
        <w:rPr>
          <w:rFonts w:ascii="Arial" w:hAnsi="Arial" w:cs="Arial"/>
          <w:sz w:val="24"/>
          <w:szCs w:val="24"/>
        </w:rPr>
        <w:t>.</w:t>
      </w: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65B9C">
        <w:rPr>
          <w:rFonts w:ascii="Arial" w:hAnsi="Arial" w:cs="Arial"/>
          <w:sz w:val="24"/>
          <w:szCs w:val="24"/>
        </w:rPr>
        <w:t xml:space="preserve">    И.А. Никитина</w:t>
      </w: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65B9C">
        <w:rPr>
          <w:rFonts w:ascii="Arial" w:hAnsi="Arial" w:cs="Arial"/>
          <w:sz w:val="24"/>
          <w:szCs w:val="24"/>
        </w:rPr>
        <w:t xml:space="preserve">     М.А. Назирова</w:t>
      </w: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</w:p>
    <w:p w:rsidR="00F84731" w:rsidRPr="00465B9C" w:rsidRDefault="00F84731" w:rsidP="00F84731">
      <w:pPr>
        <w:rPr>
          <w:rFonts w:ascii="Arial" w:hAnsi="Arial" w:cs="Arial"/>
          <w:sz w:val="24"/>
          <w:szCs w:val="24"/>
        </w:rPr>
      </w:pPr>
      <w:r w:rsidRPr="00465B9C">
        <w:rPr>
          <w:rFonts w:ascii="Arial" w:hAnsi="Arial" w:cs="Arial"/>
          <w:sz w:val="24"/>
          <w:szCs w:val="24"/>
        </w:rPr>
        <w:t xml:space="preserve">       </w:t>
      </w:r>
    </w:p>
    <w:p w:rsidR="008D5E05" w:rsidRPr="00F84731" w:rsidRDefault="008D5E05" w:rsidP="00F84731"/>
    <w:sectPr w:rsidR="008D5E05" w:rsidRPr="00F84731" w:rsidSect="00B85B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BD"/>
    <w:multiLevelType w:val="hybridMultilevel"/>
    <w:tmpl w:val="A5482F02"/>
    <w:lvl w:ilvl="0" w:tplc="AC0E3CC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4A7C41F3"/>
    <w:multiLevelType w:val="hybridMultilevel"/>
    <w:tmpl w:val="6FFEF746"/>
    <w:lvl w:ilvl="0" w:tplc="CD20003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C90885"/>
    <w:multiLevelType w:val="hybridMultilevel"/>
    <w:tmpl w:val="F1CE2CE6"/>
    <w:lvl w:ilvl="0" w:tplc="ABDEE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20749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54"/>
    <w:rsid w:val="001314F1"/>
    <w:rsid w:val="00256978"/>
    <w:rsid w:val="00265A1F"/>
    <w:rsid w:val="002B43E3"/>
    <w:rsid w:val="00325AAC"/>
    <w:rsid w:val="00386CF0"/>
    <w:rsid w:val="003C30C7"/>
    <w:rsid w:val="003F6E02"/>
    <w:rsid w:val="004A6711"/>
    <w:rsid w:val="004E16A5"/>
    <w:rsid w:val="004F3BEC"/>
    <w:rsid w:val="00722358"/>
    <w:rsid w:val="007D2F6A"/>
    <w:rsid w:val="008D5E05"/>
    <w:rsid w:val="008E0A15"/>
    <w:rsid w:val="00930F2E"/>
    <w:rsid w:val="00A30FB7"/>
    <w:rsid w:val="00C34D54"/>
    <w:rsid w:val="00D94D29"/>
    <w:rsid w:val="00DB08C3"/>
    <w:rsid w:val="00DF2D1E"/>
    <w:rsid w:val="00F84731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</dc:creator>
  <cp:keywords/>
  <dc:description/>
  <cp:lastModifiedBy>Alena</cp:lastModifiedBy>
  <cp:revision>18</cp:revision>
  <cp:lastPrinted>2019-12-17T02:21:00Z</cp:lastPrinted>
  <dcterms:created xsi:type="dcterms:W3CDTF">2018-11-26T03:47:00Z</dcterms:created>
  <dcterms:modified xsi:type="dcterms:W3CDTF">2019-12-17T02:21:00Z</dcterms:modified>
</cp:coreProperties>
</file>